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09" w:rsidRPr="00111ED7" w:rsidRDefault="00006D09" w:rsidP="00006D0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111E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2</w:t>
      </w:r>
    </w:p>
    <w:p w:rsidR="00006D09" w:rsidRPr="00111ED7" w:rsidRDefault="00006D09" w:rsidP="00006D09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006D09" w:rsidRPr="00111ED7" w:rsidRDefault="00006D09" w:rsidP="00006D09">
      <w:pPr>
        <w:tabs>
          <w:tab w:val="left" w:pos="1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1ED7">
        <w:rPr>
          <w:rFonts w:ascii="Times New Roman" w:eastAsia="Calibri" w:hAnsi="Times New Roman" w:cs="Times New Roman"/>
          <w:b/>
          <w:sz w:val="24"/>
          <w:szCs w:val="24"/>
        </w:rPr>
        <w:t>Tablica za ocjenu spremnosti prijedloga investicijskih projekata</w:t>
      </w:r>
    </w:p>
    <w:p w:rsidR="00006D09" w:rsidRPr="00111ED7" w:rsidRDefault="00006D09" w:rsidP="00006D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1"/>
        <w:gridCol w:w="1416"/>
        <w:gridCol w:w="1413"/>
      </w:tblGrid>
      <w:tr w:rsidR="00006D09" w:rsidRPr="00111ED7" w:rsidTr="005E3D2E">
        <w:tc>
          <w:tcPr>
            <w:tcW w:w="9060" w:type="dxa"/>
            <w:gridSpan w:val="3"/>
            <w:shd w:val="clear" w:color="auto" w:fill="DBDBDB" w:themeFill="accent3" w:themeFillTint="66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Osnovni kriteriji koje investicijski projekt mora ispuniti</w:t>
            </w:r>
          </w:p>
        </w:tc>
      </w:tr>
      <w:tr w:rsidR="00006D09" w:rsidRPr="00111ED7" w:rsidTr="005E3D2E">
        <w:tc>
          <w:tcPr>
            <w:tcW w:w="6231" w:type="dxa"/>
            <w:vMerge w:val="restart"/>
            <w:shd w:val="clear" w:color="auto" w:fill="EDEDED" w:themeFill="accent3" w:themeFillTint="33"/>
            <w:vAlign w:val="center"/>
          </w:tcPr>
          <w:p w:rsidR="00006D09" w:rsidRPr="00111ED7" w:rsidRDefault="00006D09" w:rsidP="005E3D2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Osnovni kriterij</w:t>
            </w:r>
          </w:p>
        </w:tc>
        <w:tc>
          <w:tcPr>
            <w:tcW w:w="2829" w:type="dxa"/>
            <w:gridSpan w:val="2"/>
            <w:shd w:val="clear" w:color="auto" w:fill="EDEDED" w:themeFill="accent3" w:themeFillTint="33"/>
          </w:tcPr>
          <w:p w:rsidR="00006D09" w:rsidRDefault="00006D09" w:rsidP="005E3D2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Status</w:t>
            </w:r>
          </w:p>
          <w:p w:rsidR="00006D09" w:rsidRPr="001E336D" w:rsidRDefault="00006D09" w:rsidP="005E3D2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</w:pPr>
            <w:r w:rsidRPr="001E336D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>(označiti s X)</w:t>
            </w:r>
          </w:p>
        </w:tc>
      </w:tr>
      <w:tr w:rsidR="00006D09" w:rsidRPr="00111ED7" w:rsidTr="005E3D2E">
        <w:tc>
          <w:tcPr>
            <w:tcW w:w="6231" w:type="dxa"/>
            <w:vMerge/>
            <w:shd w:val="clear" w:color="auto" w:fill="EDEDED" w:themeFill="accent3" w:themeFillTint="33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416" w:type="dxa"/>
            <w:shd w:val="clear" w:color="auto" w:fill="EDEDED" w:themeFill="accent3" w:themeFillTint="33"/>
            <w:vAlign w:val="center"/>
          </w:tcPr>
          <w:p w:rsidR="00006D09" w:rsidRPr="00111ED7" w:rsidRDefault="00006D09" w:rsidP="005E3D2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Zadovoljava</w:t>
            </w:r>
          </w:p>
        </w:tc>
        <w:tc>
          <w:tcPr>
            <w:tcW w:w="1413" w:type="dxa"/>
            <w:shd w:val="clear" w:color="auto" w:fill="EDEDED" w:themeFill="accent3" w:themeFillTint="33"/>
            <w:vAlign w:val="center"/>
          </w:tcPr>
          <w:p w:rsidR="00006D09" w:rsidRPr="00111ED7" w:rsidRDefault="00006D09" w:rsidP="005E3D2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Ne zadovoljava</w:t>
            </w:r>
          </w:p>
        </w:tc>
      </w:tr>
      <w:tr w:rsidR="00006D09" w:rsidRPr="00111ED7" w:rsidTr="005E3D2E">
        <w:tc>
          <w:tcPr>
            <w:tcW w:w="6231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Obrazac s</w:t>
            </w: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ažetka projekta je popunjen</w:t>
            </w:r>
          </w:p>
        </w:tc>
        <w:tc>
          <w:tcPr>
            <w:tcW w:w="1416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413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6231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Pred-investicijske studije su izrađene i priložene</w:t>
            </w:r>
          </w:p>
        </w:tc>
        <w:tc>
          <w:tcPr>
            <w:tcW w:w="1416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413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6231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Pred-investicijske studije analiziraju sve potrebne elemente i uvjete</w:t>
            </w:r>
          </w:p>
        </w:tc>
        <w:tc>
          <w:tcPr>
            <w:tcW w:w="1416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413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6231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Izrađena je potrebna projektna dokumentacija </w:t>
            </w:r>
          </w:p>
        </w:tc>
        <w:tc>
          <w:tcPr>
            <w:tcW w:w="1416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413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6231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Rizici su identificirani te je pripremljen plan otklanjanja i prevencije rizika</w:t>
            </w:r>
          </w:p>
        </w:tc>
        <w:tc>
          <w:tcPr>
            <w:tcW w:w="1416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413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6231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Zemljište je dostupno (ukoliko je potrebno za projekt) </w:t>
            </w:r>
          </w:p>
        </w:tc>
        <w:tc>
          <w:tcPr>
            <w:tcW w:w="1416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413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6231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Dokumentacija za pokretanje postupka nabave roba, usluga i radova je pripremljena </w:t>
            </w:r>
          </w:p>
        </w:tc>
        <w:tc>
          <w:tcPr>
            <w:tcW w:w="1416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413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6231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Resursi potrebni za provedbu projekta su dostupni (ljudi, materijal, oprema)</w:t>
            </w:r>
          </w:p>
        </w:tc>
        <w:tc>
          <w:tcPr>
            <w:tcW w:w="1416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413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6231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Resursi potrebni za upravljanje projektom i održavanje su dostupni (ljudi, materijal, oprema)</w:t>
            </w:r>
          </w:p>
        </w:tc>
        <w:tc>
          <w:tcPr>
            <w:tcW w:w="1416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413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6231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Uspostavljen je okvir za praćenje napretka provedbe projekta</w:t>
            </w:r>
          </w:p>
        </w:tc>
        <w:tc>
          <w:tcPr>
            <w:tcW w:w="1416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413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6231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Voditelj projekta je odabran</w:t>
            </w:r>
          </w:p>
        </w:tc>
        <w:tc>
          <w:tcPr>
            <w:tcW w:w="1416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413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006D09" w:rsidRDefault="00006D09" w:rsidP="00006D09">
      <w:pPr>
        <w:rPr>
          <w:rFonts w:ascii="Times New Roman" w:hAnsi="Times New Roman" w:cs="Times New Roman"/>
          <w:sz w:val="24"/>
          <w:szCs w:val="24"/>
        </w:rPr>
      </w:pPr>
    </w:p>
    <w:p w:rsidR="00006D09" w:rsidRDefault="00006D09" w:rsidP="00006D09">
      <w:pPr>
        <w:rPr>
          <w:rFonts w:ascii="Times New Roman" w:hAnsi="Times New Roman" w:cs="Times New Roman"/>
          <w:sz w:val="24"/>
          <w:szCs w:val="24"/>
        </w:rPr>
      </w:pPr>
    </w:p>
    <w:p w:rsidR="00006D09" w:rsidRDefault="00006D09" w:rsidP="00006D09">
      <w:pPr>
        <w:rPr>
          <w:rFonts w:ascii="Times New Roman" w:hAnsi="Times New Roman" w:cs="Times New Roman"/>
          <w:sz w:val="24"/>
          <w:szCs w:val="24"/>
        </w:rPr>
      </w:pPr>
    </w:p>
    <w:p w:rsidR="00006D09" w:rsidRDefault="00006D09" w:rsidP="00006D09">
      <w:pPr>
        <w:rPr>
          <w:rFonts w:ascii="Times New Roman" w:hAnsi="Times New Roman" w:cs="Times New Roman"/>
          <w:sz w:val="24"/>
          <w:szCs w:val="24"/>
        </w:rPr>
      </w:pPr>
    </w:p>
    <w:p w:rsidR="00006D09" w:rsidRDefault="00006D09" w:rsidP="00006D09">
      <w:pPr>
        <w:rPr>
          <w:rFonts w:ascii="Times New Roman" w:hAnsi="Times New Roman" w:cs="Times New Roman"/>
          <w:sz w:val="24"/>
          <w:szCs w:val="24"/>
        </w:rPr>
      </w:pPr>
    </w:p>
    <w:p w:rsidR="00006D09" w:rsidRDefault="00006D09" w:rsidP="00006D09">
      <w:pPr>
        <w:rPr>
          <w:rFonts w:ascii="Times New Roman" w:hAnsi="Times New Roman" w:cs="Times New Roman"/>
          <w:sz w:val="24"/>
          <w:szCs w:val="24"/>
        </w:rPr>
      </w:pPr>
    </w:p>
    <w:p w:rsidR="00006D09" w:rsidRDefault="00006D09" w:rsidP="00006D09">
      <w:pPr>
        <w:rPr>
          <w:rFonts w:ascii="Times New Roman" w:hAnsi="Times New Roman" w:cs="Times New Roman"/>
          <w:sz w:val="24"/>
          <w:szCs w:val="24"/>
        </w:rPr>
      </w:pPr>
    </w:p>
    <w:p w:rsidR="00006D09" w:rsidRPr="00111ED7" w:rsidRDefault="00006D09" w:rsidP="00006D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055"/>
      </w:tblGrid>
      <w:tr w:rsidR="00006D09" w:rsidRPr="00111ED7" w:rsidTr="005E3D2E">
        <w:tc>
          <w:tcPr>
            <w:tcW w:w="9060" w:type="dxa"/>
            <w:gridSpan w:val="2"/>
            <w:shd w:val="clear" w:color="auto" w:fill="DBDBDB" w:themeFill="accent3" w:themeFillTint="66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lastRenderedPageBreak/>
              <w:t>Kvalitativni kriteriji</w:t>
            </w:r>
          </w:p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Kroz analizu kvalitete projekta dodjeljuju se bodovi (1 ili 0) na temelju čega Povjerenstvo za odabir i financiranje investicijskih projekata odlučuje o odabiru investicijskih projekata.</w:t>
            </w:r>
          </w:p>
        </w:tc>
      </w:tr>
      <w:tr w:rsidR="00006D09" w:rsidRPr="00111ED7" w:rsidTr="005E3D2E">
        <w:tc>
          <w:tcPr>
            <w:tcW w:w="8005" w:type="dxa"/>
            <w:shd w:val="clear" w:color="auto" w:fill="EDEDED" w:themeFill="accent3" w:themeFillTint="33"/>
            <w:vAlign w:val="center"/>
          </w:tcPr>
          <w:p w:rsidR="00006D09" w:rsidRPr="00111ED7" w:rsidRDefault="00006D09" w:rsidP="005E3D2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Kriterij</w:t>
            </w:r>
          </w:p>
        </w:tc>
        <w:tc>
          <w:tcPr>
            <w:tcW w:w="1055" w:type="dxa"/>
            <w:shd w:val="clear" w:color="auto" w:fill="EDEDED" w:themeFill="accent3" w:themeFillTint="33"/>
          </w:tcPr>
          <w:p w:rsidR="00006D09" w:rsidRPr="00111ED7" w:rsidRDefault="00006D09" w:rsidP="005E3D2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DA/NE</w:t>
            </w:r>
          </w:p>
          <w:p w:rsidR="00006D09" w:rsidRPr="00111ED7" w:rsidRDefault="00006D09" w:rsidP="005E3D2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(</w:t>
            </w: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1/0)</w:t>
            </w:r>
          </w:p>
        </w:tc>
      </w:tr>
      <w:tr w:rsidR="00006D09" w:rsidRPr="009B7614" w:rsidTr="005E3D2E">
        <w:tc>
          <w:tcPr>
            <w:tcW w:w="8005" w:type="dxa"/>
            <w:shd w:val="clear" w:color="auto" w:fill="auto"/>
            <w:vAlign w:val="center"/>
          </w:tcPr>
          <w:p w:rsidR="00006D09" w:rsidRPr="00FD5C1D" w:rsidRDefault="00006D09" w:rsidP="005E3D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FD5C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r-HR"/>
              </w:rPr>
              <w:t>Projekt je usklađen s ciljevima akata strateškog planiranja od nacionalnog značaja od nacionalnog značaja i od značaja za jedinice lokalne i područne (regionalne) samouprave</w:t>
            </w:r>
          </w:p>
        </w:tc>
        <w:tc>
          <w:tcPr>
            <w:tcW w:w="1055" w:type="dxa"/>
            <w:shd w:val="clear" w:color="auto" w:fill="auto"/>
          </w:tcPr>
          <w:p w:rsidR="00006D09" w:rsidRPr="00B33654" w:rsidRDefault="00006D09" w:rsidP="005E3D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06D09" w:rsidRPr="00111ED7" w:rsidTr="005E3D2E">
        <w:tc>
          <w:tcPr>
            <w:tcW w:w="8005" w:type="dxa"/>
            <w:vAlign w:val="center"/>
          </w:tcPr>
          <w:p w:rsidR="00006D09" w:rsidRPr="00111ED7" w:rsidRDefault="00006D09" w:rsidP="005E3D2E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Projekt je usklađen s postojećim prioritetima javnim politika na razini izvršne vlasti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Projekt je usklađen s razvojnim politikama i politikama u području uspostave suradnje koje provodi Europska komisija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Projekt je sukladan EU pravilu „ne čini značajnu štetu“ </w:t>
            </w:r>
            <w:r w:rsidRPr="00111E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hr-HR"/>
              </w:rPr>
              <w:t xml:space="preserve">(Do no </w:t>
            </w:r>
            <w:proofErr w:type="spellStart"/>
            <w:r w:rsidRPr="00111E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hr-HR"/>
              </w:rPr>
              <w:t>significant</w:t>
            </w:r>
            <w:proofErr w:type="spellEnd"/>
            <w:r w:rsidRPr="00111E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11E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hr-HR"/>
              </w:rPr>
              <w:t>harm</w:t>
            </w:r>
            <w:proofErr w:type="spellEnd"/>
            <w:r w:rsidRPr="00111E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hr-HR"/>
              </w:rPr>
              <w:t>)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Projekt je djelomično financiran od strane privatnog sektora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Postoji značajan interes javnosti za projektom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Nositelj investicijskog projekta prethodno je provodio sličan projekt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Studija </w:t>
            </w:r>
            <w:proofErr w:type="spellStart"/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predizvedivosti</w:t>
            </w:r>
            <w:proofErr w:type="spellEnd"/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 i/ili studija izvedivosti sadrže analizu alternativnih rješenja predloženom projektu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Studijom </w:t>
            </w:r>
            <w:proofErr w:type="spellStart"/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predizvedivosti</w:t>
            </w:r>
            <w:proofErr w:type="spellEnd"/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 i/ili studijom izvedivosti predložen je najkvalitetniji projekt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Svi investicijski, operativni i troškovi završetka odnosno zatvaranja projekta (ako je primjenjivo) su jasno naznačeni i realno procijenjeni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Studija </w:t>
            </w:r>
            <w:proofErr w:type="spellStart"/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predizvedivosti</w:t>
            </w:r>
            <w:proofErr w:type="spellEnd"/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 dokazuje da je projekt financijski opravdan </w:t>
            </w:r>
            <w:r w:rsidRPr="00111E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hr-HR"/>
              </w:rPr>
              <w:t xml:space="preserve">(FNPV&gt;0 </w:t>
            </w:r>
            <w:proofErr w:type="spellStart"/>
            <w:r w:rsidRPr="00111E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hr-HR"/>
              </w:rPr>
              <w:t>or</w:t>
            </w:r>
            <w:proofErr w:type="spellEnd"/>
            <w:r w:rsidRPr="00111E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hr-HR"/>
              </w:rPr>
              <w:t xml:space="preserve"> AVC </w:t>
            </w:r>
            <w:proofErr w:type="spellStart"/>
            <w:r w:rsidRPr="00111E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hr-HR"/>
              </w:rPr>
              <w:t>minimized</w:t>
            </w:r>
            <w:proofErr w:type="spellEnd"/>
            <w:r w:rsidRPr="00111E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hr-HR"/>
              </w:rPr>
              <w:t>)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Studija </w:t>
            </w:r>
            <w:proofErr w:type="spellStart"/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predizvodivosti</w:t>
            </w:r>
            <w:proofErr w:type="spellEnd"/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 utvrđuje ekonomsku opravdanost projekta </w:t>
            </w:r>
            <w:r w:rsidRPr="00111E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hr-HR"/>
              </w:rPr>
              <w:t>(ENPV&gt;0)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Projekt uključuje ili ima utjecaj na prioritetne skupine u društvu (djeca, stariji, ostali)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Projekt potiče </w:t>
            </w:r>
            <w:proofErr w:type="spellStart"/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inkluziju</w:t>
            </w:r>
            <w:proofErr w:type="spellEnd"/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 u društvu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Projekt uključuje ili ima utjecaj na slabije razvijena područja u zemlji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Projektom se čuva kultura i/ili kulturna baština zemlje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Pozitivan učinak projekta osjećat će se najmanje 10 godina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Projekt potiče osnaživanje institucija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Projekt prepoznaje i potiče nacionalnu koheziju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Projekt potiče društveno organiziranje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Projekt prepoznaje i potiče aktivnosti u području nacionalne sigurnosti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lastRenderedPageBreak/>
              <w:t>Projekt doprinosi otpornosti na klimatske promjene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Projektom se smanjuju emisije stakleničkih plinova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06D09" w:rsidRPr="00111ED7" w:rsidTr="005E3D2E">
        <w:tc>
          <w:tcPr>
            <w:tcW w:w="800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111ED7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Projektom se smanjuje rizik i/ili utjecaj prirodnih katastrofa</w:t>
            </w:r>
          </w:p>
        </w:tc>
        <w:tc>
          <w:tcPr>
            <w:tcW w:w="1055" w:type="dxa"/>
          </w:tcPr>
          <w:p w:rsidR="00006D09" w:rsidRPr="00111ED7" w:rsidRDefault="00006D09" w:rsidP="005E3D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006D09" w:rsidRPr="00111ED7" w:rsidRDefault="00006D09" w:rsidP="00006D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09" w:rsidRDefault="00006D09" w:rsidP="00006D09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654" w:rsidRDefault="00006D09" w:rsidP="00006D09"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sectPr w:rsidR="002E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09"/>
    <w:rsid w:val="00006D09"/>
    <w:rsid w:val="001C5DA9"/>
    <w:rsid w:val="00477A55"/>
    <w:rsid w:val="00A43EFC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5856F-686A-4CA3-88CB-BFCEA033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09"/>
    <w:pPr>
      <w:ind w:left="720"/>
      <w:contextualSpacing/>
    </w:pPr>
  </w:style>
  <w:style w:type="table" w:styleId="TableGrid">
    <w:name w:val="Table Grid"/>
    <w:basedOn w:val="TableNormal"/>
    <w:rsid w:val="00006D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Bibić</dc:creator>
  <cp:keywords/>
  <dc:description/>
  <cp:lastModifiedBy>Nikolina Bibić</cp:lastModifiedBy>
  <cp:revision>2</cp:revision>
  <dcterms:created xsi:type="dcterms:W3CDTF">2024-01-22T18:40:00Z</dcterms:created>
  <dcterms:modified xsi:type="dcterms:W3CDTF">2024-01-22T18:40:00Z</dcterms:modified>
</cp:coreProperties>
</file>